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D571B8">
        <w:trPr>
          <w:trHeight w:val="612"/>
        </w:trPr>
        <w:tc>
          <w:tcPr>
            <w:tcW w:w="1967" w:type="dxa"/>
            <w:shd w:val="clear" w:color="auto" w:fill="auto"/>
          </w:tcPr>
          <w:p w:rsidR="00D571B8" w:rsidRDefault="00D571B8">
            <w:pPr>
              <w:pStyle w:val="10"/>
              <w:rPr>
                <w:rFonts w:ascii="Tms Rmn" w:hAnsi="Tms Rmn"/>
                <w:lang w:eastAsia="ru-RU"/>
              </w:rPr>
            </w:pPr>
          </w:p>
          <w:p w:rsidR="00D571B8" w:rsidRDefault="00D571B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D571B8" w:rsidRDefault="004F63A1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D571B8" w:rsidRDefault="004F63A1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D571B8" w:rsidRDefault="00D571B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D571B8" w:rsidRDefault="004F63A1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1B8" w:rsidRDefault="00D571B8">
      <w:pPr>
        <w:rPr>
          <w:b/>
          <w:sz w:val="26"/>
          <w:szCs w:val="26"/>
        </w:rPr>
      </w:pPr>
    </w:p>
    <w:p w:rsidR="00D571B8" w:rsidRDefault="00D571B8"/>
    <w:p w:rsidR="00D571B8" w:rsidRDefault="004F63A1">
      <w:pPr>
        <w:spacing w:beforeAutospacing="1" w:afterAutospacing="1" w:line="276" w:lineRule="auto"/>
        <w:jc w:val="center"/>
        <w:outlineLvl w:val="3"/>
      </w:pPr>
      <w:r>
        <w:rPr>
          <w:b/>
          <w:bCs/>
          <w:sz w:val="28"/>
        </w:rPr>
        <w:t>Поменять способ доставки пенсий можно онлайн</w:t>
      </w:r>
    </w:p>
    <w:p w:rsidR="00D571B8" w:rsidRDefault="004F63A1">
      <w:r>
        <w:t xml:space="preserve">24 </w:t>
      </w:r>
      <w:proofErr w:type="gramStart"/>
      <w:r>
        <w:t xml:space="preserve">марта </w:t>
      </w:r>
      <w:r>
        <w:t xml:space="preserve"> 2021</w:t>
      </w:r>
      <w:proofErr w:type="gramEnd"/>
      <w:r>
        <w:t xml:space="preserve"> года                                                                                              </w:t>
      </w:r>
    </w:p>
    <w:p w:rsidR="004F63A1" w:rsidRDefault="004F63A1">
      <w:pPr>
        <w:rPr>
          <w:sz w:val="26"/>
          <w:szCs w:val="26"/>
        </w:rPr>
      </w:pPr>
    </w:p>
    <w:p w:rsidR="00D571B8" w:rsidRDefault="004F63A1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</w:t>
      </w:r>
      <w:proofErr w:type="gramStart"/>
      <w:r>
        <w:t xml:space="preserve">что </w:t>
      </w:r>
      <w:r>
        <w:rPr>
          <w:rStyle w:val="textexposedshow"/>
        </w:rPr>
        <w:t xml:space="preserve"> сменить</w:t>
      </w:r>
      <w:proofErr w:type="gramEnd"/>
      <w:r>
        <w:rPr>
          <w:rStyle w:val="textexposedshow"/>
        </w:rPr>
        <w:t xml:space="preserve"> способ доставки пенсии или поменять реквизиты счета, н</w:t>
      </w:r>
      <w:r>
        <w:rPr>
          <w:rStyle w:val="textexposedshow"/>
        </w:rPr>
        <w:t xml:space="preserve">а который поступают средства, можно, не посещая клиентскую службу ПФР, через Личный кабинет гражданина на сайте ПФР или на портале </w:t>
      </w:r>
      <w:proofErr w:type="spellStart"/>
      <w:r>
        <w:rPr>
          <w:rStyle w:val="textexposedshow"/>
        </w:rPr>
        <w:t>Госуслуг</w:t>
      </w:r>
      <w:proofErr w:type="spellEnd"/>
      <w:r>
        <w:rPr>
          <w:rStyle w:val="textexposedshow"/>
        </w:rPr>
        <w:t xml:space="preserve">. Но для этого у пенсионера должна быть подтвержденная учетная запись. </w:t>
      </w:r>
    </w:p>
    <w:p w:rsidR="00D571B8" w:rsidRDefault="004F63A1">
      <w:pPr>
        <w:ind w:firstLine="709"/>
        <w:jc w:val="both"/>
      </w:pPr>
      <w:r>
        <w:rPr>
          <w:rStyle w:val="textexposedshow"/>
        </w:rPr>
        <w:t xml:space="preserve">Для выбора способа доставки пенсии или ее </w:t>
      </w:r>
      <w:r>
        <w:rPr>
          <w:rStyle w:val="textexposedshow"/>
        </w:rPr>
        <w:t>изменения нужно уведомить об этом ПФР в электронном виде, подав заявление в Личном кабинете на сайте ПФР (</w:t>
      </w:r>
      <w:proofErr w:type="spellStart"/>
      <w:r>
        <w:rPr>
          <w:rStyle w:val="textexposedshow"/>
          <w:lang w:val="en-US"/>
        </w:rPr>
        <w:t>es</w:t>
      </w:r>
      <w:proofErr w:type="spellEnd"/>
      <w:r>
        <w:rPr>
          <w:rStyle w:val="textexposedshow"/>
        </w:rPr>
        <w:t>.pfrf.ru) или через Единый портал государственных и муниципальных услуг (</w:t>
      </w:r>
      <w:proofErr w:type="spellStart"/>
      <w:r>
        <w:rPr>
          <w:rStyle w:val="textexposedshow"/>
          <w:lang w:val="en-US"/>
        </w:rPr>
        <w:t>gosuslugi</w:t>
      </w:r>
      <w:proofErr w:type="spellEnd"/>
      <w:r>
        <w:rPr>
          <w:rStyle w:val="textexposedshow"/>
        </w:rPr>
        <w:t>.</w:t>
      </w:r>
      <w:proofErr w:type="spellStart"/>
      <w:r>
        <w:rPr>
          <w:rStyle w:val="textexposedshow"/>
          <w:lang w:val="en-US"/>
        </w:rPr>
        <w:t>ru</w:t>
      </w:r>
      <w:proofErr w:type="spellEnd"/>
      <w:r>
        <w:rPr>
          <w:rStyle w:val="textexposedshow"/>
        </w:rPr>
        <w:t xml:space="preserve">). </w:t>
      </w:r>
    </w:p>
    <w:p w:rsidR="00D571B8" w:rsidRDefault="004F63A1">
      <w:pPr>
        <w:ind w:firstLine="709"/>
        <w:jc w:val="both"/>
      </w:pPr>
      <w:r>
        <w:rPr>
          <w:rStyle w:val="textexposedshow"/>
        </w:rPr>
        <w:t>В электронном заявлении данные заявителя заполняются автома</w:t>
      </w:r>
      <w:r>
        <w:rPr>
          <w:rStyle w:val="textexposedshow"/>
        </w:rPr>
        <w:t xml:space="preserve">тически, если необходимо поменять информацию, то это нужно сделать в личном профиле на портале </w:t>
      </w:r>
      <w:proofErr w:type="spellStart"/>
      <w:r>
        <w:rPr>
          <w:rStyle w:val="textexposedshow"/>
        </w:rPr>
        <w:t>Госуслуг</w:t>
      </w:r>
      <w:proofErr w:type="spellEnd"/>
      <w:r>
        <w:rPr>
          <w:rStyle w:val="textexposedshow"/>
        </w:rPr>
        <w:t xml:space="preserve">. </w:t>
      </w:r>
    </w:p>
    <w:p w:rsidR="00D571B8" w:rsidRDefault="004F63A1">
      <w:pPr>
        <w:ind w:firstLine="709"/>
        <w:jc w:val="both"/>
      </w:pPr>
      <w:r>
        <w:rPr>
          <w:rStyle w:val="textexposedshow"/>
        </w:rPr>
        <w:t>В случае выбора Поч</w:t>
      </w:r>
      <w:bookmarkStart w:id="0" w:name="_GoBack1"/>
      <w:bookmarkEnd w:id="0"/>
      <w:r>
        <w:rPr>
          <w:rStyle w:val="textexposedshow"/>
        </w:rPr>
        <w:t>ты России необходимо дополнительно указать номер почтового отделения по месту жительства и выбрать способ    вручения – на дому или</w:t>
      </w:r>
      <w:r>
        <w:rPr>
          <w:rStyle w:val="textexposedshow"/>
        </w:rPr>
        <w:t xml:space="preserve"> в кассе отделения почтовой связи. </w:t>
      </w:r>
    </w:p>
    <w:p w:rsidR="00D571B8" w:rsidRDefault="00D571B8">
      <w:pPr>
        <w:tabs>
          <w:tab w:val="left" w:pos="900"/>
        </w:tabs>
        <w:jc w:val="both"/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D571B8" w:rsidRDefault="00D571B8">
      <w:pPr>
        <w:tabs>
          <w:tab w:val="left" w:pos="900"/>
        </w:tabs>
        <w:jc w:val="both"/>
        <w:rPr>
          <w:rFonts w:cs="Calibri"/>
        </w:rPr>
      </w:pPr>
    </w:p>
    <w:p w:rsidR="004F63A1" w:rsidRDefault="004F63A1" w:rsidP="004F63A1">
      <w:pPr>
        <w:pStyle w:val="ab"/>
        <w:jc w:val="center"/>
      </w:pPr>
      <w:bookmarkStart w:id="1" w:name="_GoBack"/>
      <w:bookmarkEnd w:id="1"/>
      <w:r>
        <w:rPr>
          <w:sz w:val="26"/>
          <w:szCs w:val="26"/>
        </w:rPr>
        <w:t xml:space="preserve">                                             </w:t>
      </w:r>
      <w:r>
        <w:t xml:space="preserve"> </w:t>
      </w:r>
    </w:p>
    <w:p w:rsidR="00D571B8" w:rsidRDefault="00D571B8">
      <w:pPr>
        <w:pStyle w:val="ab"/>
        <w:jc w:val="center"/>
      </w:pPr>
    </w:p>
    <w:p w:rsidR="00D571B8" w:rsidRDefault="004F63A1">
      <w:pPr>
        <w:pStyle w:val="ab"/>
        <w:jc w:val="center"/>
      </w:pPr>
      <w:r>
        <w:t>________________________________________________________________</w:t>
      </w:r>
    </w:p>
    <w:p w:rsidR="00D571B8" w:rsidRDefault="004F63A1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D571B8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B8"/>
    <w:rsid w:val="004F63A1"/>
    <w:rsid w:val="00D5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AF888-DC97-4896-99EA-639C4847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xtexposedshow">
    <w:name w:val="text_exposed_show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12</cp:revision>
  <cp:lastPrinted>2020-08-31T23:21:00Z</cp:lastPrinted>
  <dcterms:created xsi:type="dcterms:W3CDTF">2020-08-31T23:21:00Z</dcterms:created>
  <dcterms:modified xsi:type="dcterms:W3CDTF">2021-03-24T05:07:00Z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